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709" w:left="0" w:right="0"/>
        <w:jc w:val="center"/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Оформление документов в электронном виде. Качество, доступность, гарантия.</w:t>
      </w:r>
    </w:p>
    <w:p>
      <w:pPr>
        <w:pStyle w:val="style0"/>
        <w:spacing w:after="0" w:before="0" w:line="360" w:lineRule="auto"/>
        <w:ind w:firstLine="709" w:left="0" w:right="0"/>
        <w:jc w:val="center"/>
      </w:pPr>
      <w:r>
        <w:rPr>
          <w:rFonts w:ascii="Times New Roman" w:hAnsi="Times New Roman"/>
          <w:i/>
          <w:sz w:val="26"/>
          <w:szCs w:val="26"/>
        </w:rPr>
        <w:t>Преимущества подачи документов физическими лицами в электронном виде</w:t>
      </w:r>
    </w:p>
    <w:p>
      <w:pPr>
        <w:pStyle w:val="style0"/>
        <w:spacing w:after="0" w:before="0" w:line="360" w:lineRule="auto"/>
        <w:ind w:firstLine="709" w:left="0" w:right="0"/>
        <w:jc w:val="center"/>
      </w:pPr>
      <w:r>
        <w:rPr/>
        <w:drawing>
          <wp:inline distB="0" distL="0" distR="0" distT="0">
            <wp:extent cx="1176655" cy="81089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jc w:val="left"/>
        <w:tblInd w:type="dxa" w:w="-539"/>
        <w:tblBorders/>
      </w:tblPr>
      <w:tblGrid>
        <w:gridCol w:w="720"/>
        <w:gridCol w:w="7927"/>
        <w:gridCol w:w="7372"/>
      </w:tblGrid>
      <w:tr>
        <w:trPr>
          <w:trHeight w:hRule="atLeast" w:val="941"/>
          <w:cantSplit w:val="false"/>
        </w:trPr>
        <w:tc>
          <w:tcPr>
            <w:tcW w:type="dxa" w:w="72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type="dxa" w:w="79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  <w:b/>
                <w:i/>
              </w:rPr>
              <w:t>Подача документов на бумажном носителе</w:t>
            </w:r>
          </w:p>
        </w:tc>
        <w:tc>
          <w:tcPr>
            <w:tcW w:type="dxa" w:w="73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  <w:b/>
                <w:i/>
              </w:rPr>
              <w:t>Подача документов в электронном виде</w:t>
            </w:r>
          </w:p>
        </w:tc>
      </w:tr>
      <w:tr>
        <w:trPr>
          <w:trHeight w:hRule="atLeast" w:val="760"/>
          <w:cantSplit w:val="false"/>
        </w:trPr>
        <w:tc>
          <w:tcPr>
            <w:tcW w:type="dxa" w:w="72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type="dxa" w:w="79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</w:rPr>
              <w:t>Необходимость посещения МФЦ (ожидание, предварительная запись на подачу документов)</w:t>
            </w:r>
          </w:p>
        </w:tc>
        <w:tc>
          <w:tcPr>
            <w:tcW w:type="dxa" w:w="73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</w:rPr>
              <w:t>Подача документов не выходя из дома (офис застройщика, банк)</w:t>
            </w:r>
          </w:p>
        </w:tc>
      </w:tr>
      <w:tr>
        <w:trPr>
          <w:trHeight w:hRule="atLeast" w:val="760"/>
          <w:cantSplit w:val="false"/>
        </w:trPr>
        <w:tc>
          <w:tcPr>
            <w:tcW w:type="dxa" w:w="72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type="dxa" w:w="79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290" w:val="left"/>
              </w:tabs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</w:rPr>
              <w:t>Государственная пошлина в полном объеме</w:t>
            </w:r>
          </w:p>
        </w:tc>
        <w:tc>
          <w:tcPr>
            <w:tcW w:type="dxa" w:w="73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</w:rPr>
              <w:t xml:space="preserve">Государственная пошлина за представление документов через </w:t>
            </w:r>
            <w:r>
              <w:rPr>
                <w:rFonts w:ascii="Times New Roman" w:hAnsi="Times New Roman"/>
                <w:b/>
                <w:u w:val="single"/>
              </w:rPr>
              <w:t>сайт Росреестра</w:t>
            </w:r>
            <w:r>
              <w:rPr>
                <w:rFonts w:ascii="Times New Roman" w:hAnsi="Times New Roman"/>
              </w:rPr>
              <w:t xml:space="preserve"> оплачивается со скидкой 30%</w:t>
            </w:r>
          </w:p>
        </w:tc>
      </w:tr>
      <w:tr>
        <w:trPr>
          <w:trHeight w:hRule="atLeast" w:val="1155"/>
          <w:cantSplit w:val="false"/>
        </w:trPr>
        <w:tc>
          <w:tcPr>
            <w:tcW w:type="dxa" w:w="72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type="dxa" w:w="79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</w:rPr>
              <w:t>Срок отработки документов, представленных на бумажном носителе - пять рабочих дней со дня поступления в орган регистрации прав заявления о государственной регистрации</w:t>
            </w:r>
          </w:p>
        </w:tc>
        <w:tc>
          <w:tcPr>
            <w:tcW w:type="dxa" w:w="73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</w:rPr>
              <w:t>В электронной форме - в течение трех рабочих дней, следующих за днем поступления соответствующих документов</w:t>
            </w:r>
          </w:p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hRule="atLeast" w:val="768"/>
          <w:cantSplit w:val="false"/>
        </w:trPr>
        <w:tc>
          <w:tcPr>
            <w:tcW w:type="dxa" w:w="72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type="dxa" w:w="79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</w:rPr>
              <w:t>Получение документов после регистрации - необходимость посещения МФЦ (ожидание, предварительная запись на выдачу документов)</w:t>
            </w:r>
          </w:p>
        </w:tc>
        <w:tc>
          <w:tcPr>
            <w:tcW w:type="dxa" w:w="73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firstLine="709" w:left="0" w:right="0"/>
              <w:jc w:val="center"/>
            </w:pPr>
            <w:r>
              <w:rPr>
                <w:rFonts w:ascii="Times New Roman" w:hAnsi="Times New Roman"/>
              </w:rPr>
              <w:t>Получение документов, представленных в электронном виде производится на адрес электронной почты заявителя</w:t>
            </w:r>
          </w:p>
        </w:tc>
      </w:tr>
    </w:tbl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</w:rPr>
        <w:t>Для регистрации договора долевого участия в строительстве в электронном виде, участнику долевого строительства и застройщику необходимо наличие усиленной квалифицированной электронной подписи. При подаче документов на регистрацию в электронном виде вы можете пользоваться различными платформами, веб-сервисами.</w:t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</w:rPr>
      </w:r>
    </w:p>
    <w:p>
      <w:pPr>
        <w:pStyle w:val="style0"/>
        <w:spacing w:after="0" w:before="0" w:line="360" w:lineRule="auto"/>
        <w:ind w:firstLine="709" w:left="0" w:right="0"/>
        <w:jc w:val="both"/>
      </w:pPr>
      <w:r>
        <w:rPr>
          <w:rFonts w:ascii="Times New Roman" w:hAnsi="Times New Roman"/>
        </w:rPr>
        <w:t xml:space="preserve">После передачи застройщиком объекта долевого строительства участнику долевого строительства застройщик без доверенности может подать в орган регистрации прав </w:t>
      </w:r>
      <w:hyperlink r:id="rId3">
        <w:r>
          <w:rPr>
            <w:rStyle w:val="style16"/>
            <w:rFonts w:ascii="Times New Roman" w:hAnsi="Times New Roman"/>
          </w:rPr>
          <w:t>заявления</w:t>
        </w:r>
      </w:hyperlink>
      <w:r>
        <w:rPr>
          <w:rFonts w:ascii="Times New Roman" w:hAnsi="Times New Roman"/>
        </w:rPr>
        <w:t xml:space="preserve"> о государственной регистрации права собственности участника долевого строительства в электронном виде. В этом случае, застройщик вправе осуществить перевод передаточного акта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лица, уполномоченного действовать от имени застройщика. Таким образом, усиленная квалифицированная электронная подпись участника долевого строительства на передаточном акте не требуется.</w:t>
      </w:r>
      <w:r>
        <w:rPr>
          <w:rFonts w:ascii="Times New Roman" w:hAnsi="Times New Roman"/>
          <w:lang w:eastAsia="ru-RU"/>
        </w:rPr>
        <w:t xml:space="preserve"> </w:t>
      </w:r>
    </w:p>
    <w:sectPr>
      <w:type w:val="nextPage"/>
      <w:pgSz w:h="11906" w:orient="landscape" w:w="16838"/>
      <w:pgMar w:bottom="850" w:footer="0" w:gutter="0" w:header="0" w:left="709" w:right="536" w:top="42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Segoe UI" w:cs="Segoe UI" w:hAnsi="Segoe UI"/>
      <w:sz w:val="18"/>
      <w:szCs w:val="18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ind w:hanging="0" w:left="720" w:right="0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7" w:type="paragraph">
    <w:name w:val="Верх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8" w:type="paragraph">
    <w:name w:val="Нижний колонтитул"/>
    <w:basedOn w:val="style0"/>
    <w:next w:val="style28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2.png"/><Relationship Id="rId3" Type="http://schemas.openxmlformats.org/officeDocument/2006/relationships/hyperlink" Target="consultantplus://offline/ref=2B6FB9FEC2C0E32447258EE2C21EB4C086B063173715AFF2C941DEE6FE57DA2CB2BD70175780918A109A5095A461A977C7E63EF65BC6C9DFSAE1K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2022-02-15T09:24:00.00Z</dcterms:created>
  <dc:creator>Грунина Ольга Евгеньевна</dc:creator>
  <cp:lastModifiedBy>Говорова Елена Геннадиевна</cp:lastModifiedBy>
  <cp:lastPrinted>2022-01-14T05:38:00.00Z</cp:lastPrinted>
  <dcterms:modified xsi:type="dcterms:W3CDTF">2022-02-15T09:24:00.00Z</dcterms:modified>
  <cp:revision>2</cp:revision>
</cp:coreProperties>
</file>